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3141A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</w:t>
      </w:r>
      <w:proofErr w:type="spellStart"/>
      <w:r w:rsidR="00A63C0F" w:rsidRPr="00265BA5">
        <w:rPr>
          <w:rFonts w:asciiTheme="majorHAnsi" w:eastAsia="Batang" w:hAnsiTheme="majorHAnsi" w:cs="Times New Roman"/>
          <w:sz w:val="24"/>
          <w:szCs w:val="24"/>
        </w:rPr>
        <w:t>107</w:t>
      </w:r>
      <w:proofErr w:type="spellEnd"/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08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86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09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92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10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105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10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.-ispravak,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90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11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16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86</w:t>
      </w:r>
      <w:proofErr w:type="spellEnd"/>
      <w:r w:rsidR="004D0C82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4D0C82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="004D0C82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94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152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., 7/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17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i 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68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18</w:t>
      </w:r>
      <w:proofErr w:type="spellEnd"/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A83B2D">
        <w:rPr>
          <w:rFonts w:asciiTheme="majorHAnsi" w:eastAsia="Batang" w:hAnsiTheme="majorHAnsi" w:cs="Times New Roman"/>
          <w:sz w:val="24"/>
          <w:szCs w:val="24"/>
        </w:rPr>
        <w:t xml:space="preserve"> </w:t>
      </w:r>
      <w:proofErr w:type="spellStart"/>
      <w:r w:rsidR="00A83B2D">
        <w:rPr>
          <w:rFonts w:asciiTheme="majorHAnsi" w:eastAsia="Batang" w:hAnsiTheme="majorHAnsi" w:cs="Times New Roman"/>
          <w:sz w:val="24"/>
          <w:szCs w:val="24"/>
        </w:rPr>
        <w:t>58</w:t>
      </w:r>
      <w:proofErr w:type="spellEnd"/>
      <w:r w:rsidR="00A83B2D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Statuta </w:t>
      </w:r>
      <w:r w:rsidR="00A83B2D">
        <w:rPr>
          <w:rFonts w:asciiTheme="majorHAnsi" w:eastAsia="Batang" w:hAnsiTheme="majorHAnsi" w:cs="Times New Roman"/>
          <w:sz w:val="24"/>
          <w:szCs w:val="24"/>
        </w:rPr>
        <w:t xml:space="preserve">Osnovne škole Sveti Filip i Jakov, 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>KLASA:</w:t>
      </w:r>
      <w:r w:rsidR="00F2716B">
        <w:rPr>
          <w:rFonts w:asciiTheme="majorHAnsi" w:eastAsia="Batang" w:hAnsiTheme="majorHAnsi" w:cs="Times New Roman"/>
          <w:sz w:val="24"/>
          <w:szCs w:val="24"/>
        </w:rPr>
        <w:t xml:space="preserve"> 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012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03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/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19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01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/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01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 xml:space="preserve">, </w:t>
      </w:r>
      <w:proofErr w:type="spellStart"/>
      <w:r w:rsidR="00266897" w:rsidRPr="00265BA5">
        <w:rPr>
          <w:rFonts w:asciiTheme="majorHAnsi" w:eastAsia="Batang" w:hAnsiTheme="majorHAnsi" w:cs="Times New Roman"/>
          <w:sz w:val="24"/>
          <w:szCs w:val="24"/>
        </w:rPr>
        <w:t>URBROJ</w:t>
      </w:r>
      <w:proofErr w:type="spellEnd"/>
      <w:r w:rsidR="00266897" w:rsidRPr="00265BA5">
        <w:rPr>
          <w:rFonts w:asciiTheme="majorHAnsi" w:eastAsia="Batang" w:hAnsiTheme="majorHAnsi" w:cs="Times New Roman"/>
          <w:sz w:val="24"/>
          <w:szCs w:val="24"/>
        </w:rPr>
        <w:t xml:space="preserve">: 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2198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-1-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42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01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19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>-1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 xml:space="preserve">  od</w:t>
      </w:r>
      <w:r w:rsidR="00F2716B">
        <w:rPr>
          <w:rFonts w:asciiTheme="majorHAnsi" w:eastAsia="Batang" w:hAnsiTheme="majorHAnsi" w:cs="Times New Roman"/>
          <w:sz w:val="24"/>
          <w:szCs w:val="24"/>
        </w:rPr>
        <w:t xml:space="preserve"> 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31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 xml:space="preserve">. siječnja </w:t>
      </w:r>
      <w:proofErr w:type="spellStart"/>
      <w:r w:rsidR="00F2716B">
        <w:rPr>
          <w:rFonts w:asciiTheme="majorHAnsi" w:eastAsia="Batang" w:hAnsiTheme="majorHAnsi" w:cs="Times New Roman"/>
          <w:sz w:val="24"/>
          <w:szCs w:val="24"/>
        </w:rPr>
        <w:t>2019</w:t>
      </w:r>
      <w:proofErr w:type="spellEnd"/>
      <w:r w:rsidR="00F2716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 xml:space="preserve">Školski odbor </w:t>
      </w:r>
      <w:r w:rsidR="00A83B2D">
        <w:rPr>
          <w:rFonts w:asciiTheme="majorHAnsi" w:eastAsia="Batang" w:hAnsiTheme="majorHAnsi" w:cs="Times New Roman"/>
          <w:sz w:val="24"/>
          <w:szCs w:val="24"/>
        </w:rPr>
        <w:t xml:space="preserve">Osnovne škole Sveti Filip i Jakov </w:t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 xml:space="preserve">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jednici održanoj</w:t>
      </w:r>
      <w:r w:rsidR="00A83B2D">
        <w:rPr>
          <w:rFonts w:asciiTheme="majorHAnsi" w:eastAsia="Batang" w:hAnsiTheme="majorHAnsi" w:cs="Times New Roman"/>
          <w:sz w:val="24"/>
          <w:szCs w:val="24"/>
        </w:rPr>
        <w:t xml:space="preserve"> 4. veljače </w:t>
      </w:r>
      <w:proofErr w:type="spellStart"/>
      <w:r w:rsidR="002E24C1" w:rsidRPr="00265BA5">
        <w:rPr>
          <w:rFonts w:asciiTheme="majorHAnsi" w:eastAsia="Batang" w:hAnsiTheme="majorHAnsi" w:cs="Times New Roman"/>
          <w:sz w:val="24"/>
          <w:szCs w:val="24"/>
        </w:rPr>
        <w:t>2019</w:t>
      </w:r>
      <w:proofErr w:type="spellEnd"/>
      <w:r w:rsidR="00B30AAC" w:rsidRPr="00265BA5">
        <w:rPr>
          <w:rFonts w:asciiTheme="majorHAnsi" w:eastAsia="Batang" w:hAnsiTheme="majorHAnsi" w:cs="Times New Roman"/>
          <w:sz w:val="24"/>
          <w:szCs w:val="24"/>
        </w:rPr>
        <w:t>. g</w:t>
      </w:r>
      <w:r w:rsidR="004D0C82"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EE0B41" w:rsidRPr="003141A2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U</w:t>
      </w:r>
      <w:r w:rsidR="00A83B2D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122215">
        <w:rPr>
          <w:rFonts w:asciiTheme="majorHAnsi" w:eastAsia="Batang" w:hAnsiTheme="majorHAnsi" w:cs="Times New Roman"/>
          <w:b/>
          <w:sz w:val="24"/>
          <w:szCs w:val="24"/>
        </w:rPr>
        <w:t>OSNOVNOJ ŠKOLI SVETI FILIP I JAKOV</w:t>
      </w: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211376" w:rsidRDefault="00B6781C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</w:t>
      </w:r>
      <w:r w:rsidR="00122215">
        <w:rPr>
          <w:rFonts w:asciiTheme="majorHAnsi" w:eastAsia="Batang" w:hAnsiTheme="majorHAnsi" w:cs="Times New Roman"/>
          <w:sz w:val="24"/>
          <w:szCs w:val="24"/>
        </w:rPr>
        <w:t>(u daljnjem tekstu: Pravilnik)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u</w:t>
      </w:r>
      <w:r w:rsidR="00122215">
        <w:rPr>
          <w:rFonts w:asciiTheme="majorHAnsi" w:eastAsia="Batang" w:hAnsiTheme="majorHAnsi" w:cs="Times New Roman"/>
          <w:sz w:val="24"/>
          <w:szCs w:val="24"/>
        </w:rPr>
        <w:t xml:space="preserve"> Osnovnoj školi Sveti Filip i Jakov, ulica Učiteljice Karmele </w:t>
      </w:r>
      <w:proofErr w:type="spellStart"/>
      <w:r w:rsidR="00122215">
        <w:rPr>
          <w:rFonts w:asciiTheme="majorHAnsi" w:eastAsia="Batang" w:hAnsiTheme="majorHAnsi" w:cs="Times New Roman"/>
          <w:sz w:val="24"/>
          <w:szCs w:val="24"/>
        </w:rPr>
        <w:t>Pelicarić</w:t>
      </w:r>
      <w:proofErr w:type="spellEnd"/>
      <w:r w:rsidR="00122215">
        <w:rPr>
          <w:rFonts w:asciiTheme="majorHAnsi" w:eastAsia="Batang" w:hAnsiTheme="majorHAnsi" w:cs="Times New Roman"/>
          <w:sz w:val="24"/>
          <w:szCs w:val="24"/>
        </w:rPr>
        <w:t xml:space="preserve"> Marušić </w:t>
      </w:r>
      <w:proofErr w:type="spellStart"/>
      <w:r w:rsidR="00122215">
        <w:rPr>
          <w:rFonts w:asciiTheme="majorHAnsi" w:eastAsia="Batang" w:hAnsiTheme="majorHAnsi" w:cs="Times New Roman"/>
          <w:sz w:val="24"/>
          <w:szCs w:val="24"/>
        </w:rPr>
        <w:t>10</w:t>
      </w:r>
      <w:proofErr w:type="spellEnd"/>
      <w:r w:rsidR="00122215">
        <w:rPr>
          <w:rFonts w:asciiTheme="majorHAnsi" w:eastAsia="Batang" w:hAnsiTheme="majorHAnsi" w:cs="Times New Roman"/>
          <w:sz w:val="24"/>
          <w:szCs w:val="24"/>
        </w:rPr>
        <w:t xml:space="preserve"> (u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</w:t>
      </w:r>
      <w:r w:rsidR="006E449C" w:rsidRPr="00211376">
        <w:rPr>
          <w:rFonts w:asciiTheme="majorHAnsi" w:eastAsia="Batang" w:hAnsiTheme="majorHAnsi" w:cs="Times New Roman"/>
          <w:sz w:val="24"/>
          <w:szCs w:val="24"/>
        </w:rPr>
        <w:t>natječaj</w:t>
      </w:r>
      <w:r w:rsidR="00365C77" w:rsidRPr="00211376">
        <w:rPr>
          <w:rFonts w:asciiTheme="majorHAnsi" w:eastAsia="Batang" w:hAnsiTheme="majorHAnsi" w:cs="Times New Roman"/>
          <w:sz w:val="24"/>
          <w:szCs w:val="24"/>
        </w:rPr>
        <w:t>,</w:t>
      </w:r>
      <w:r w:rsidR="006E449C" w:rsidRPr="00211376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63F6B" w:rsidRPr="00211376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211376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365C77" w:rsidRPr="00211376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211376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211376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211376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211376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211376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211376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211376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211376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211376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211376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211376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211376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0B603D" w:rsidRDefault="005C26B4" w:rsidP="003141A2">
      <w:pPr>
        <w:jc w:val="both"/>
        <w:rPr>
          <w:rFonts w:asciiTheme="majorHAnsi" w:hAnsiTheme="majorHAnsi"/>
          <w:color w:val="000000"/>
          <w:sz w:val="24"/>
          <w:szCs w:val="24"/>
          <w:lang w:eastAsia="hr-HR"/>
        </w:rPr>
      </w:pPr>
      <w:r w:rsidRPr="00211376">
        <w:rPr>
          <w:rFonts w:asciiTheme="majorHAnsi" w:hAnsiTheme="majorHAnsi"/>
          <w:color w:val="000000"/>
          <w:sz w:val="24"/>
          <w:szCs w:val="24"/>
        </w:rPr>
        <w:t xml:space="preserve">Odredbe ovoga Pravilnika ne primjenjuju se u postupku imenovanja ravnatelja, u postupku zapošljavanja pomoćnika u nastavi te </w:t>
      </w:r>
      <w:r w:rsidRPr="00211376">
        <w:rPr>
          <w:rFonts w:asciiTheme="majorHAnsi" w:hAnsiTheme="majorHAnsi"/>
          <w:color w:val="000000"/>
          <w:sz w:val="24"/>
          <w:szCs w:val="24"/>
          <w:lang w:eastAsia="hr-HR"/>
        </w:rPr>
        <w:t>str</w:t>
      </w:r>
      <w:r w:rsidR="00EE0B41" w:rsidRPr="00211376">
        <w:rPr>
          <w:rFonts w:asciiTheme="majorHAnsi" w:hAnsiTheme="majorHAnsi"/>
          <w:color w:val="000000"/>
          <w:sz w:val="24"/>
          <w:szCs w:val="24"/>
          <w:lang w:eastAsia="hr-HR"/>
        </w:rPr>
        <w:t>učno komunikacijskih posrednika.</w:t>
      </w:r>
    </w:p>
    <w:p w:rsidR="007016D3" w:rsidRPr="00211376" w:rsidRDefault="007016D3" w:rsidP="003141A2">
      <w:pPr>
        <w:jc w:val="both"/>
        <w:rPr>
          <w:rFonts w:asciiTheme="majorHAnsi" w:hAnsiTheme="majorHAnsi"/>
          <w:color w:val="000000"/>
          <w:sz w:val="24"/>
          <w:szCs w:val="24"/>
          <w:lang w:eastAsia="hr-HR"/>
        </w:rPr>
      </w:pPr>
    </w:p>
    <w:p w:rsidR="000B603D" w:rsidRPr="00211376" w:rsidRDefault="00682335" w:rsidP="003141A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211376">
        <w:rPr>
          <w:rFonts w:asciiTheme="majorHAnsi" w:eastAsia="Batang" w:hAnsiTheme="majorHAnsi" w:cs="Times New Roman"/>
          <w:i/>
          <w:sz w:val="24"/>
          <w:szCs w:val="24"/>
        </w:rPr>
        <w:t>Rodno značenje</w:t>
      </w: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265BA5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C21620" w:rsidRDefault="00B71637" w:rsidP="00C21620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3141A2" w:rsidRPr="003141A2" w:rsidRDefault="003141A2" w:rsidP="003141A2">
      <w:pPr>
        <w:pStyle w:val="Odlomakpopisa"/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C21620" w:rsidRDefault="007872F8" w:rsidP="003141A2">
      <w:pPr>
        <w:spacing w:after="0"/>
        <w:ind w:firstLine="708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</w:p>
    <w:p w:rsidR="003141A2" w:rsidRPr="003141A2" w:rsidRDefault="003141A2" w:rsidP="003141A2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405A5D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Iznimno od stavka 1. ovog članka, radni odnos može se zasnovati ugovorom o radu  i bez natječaja  u skladu s</w:t>
      </w:r>
      <w:r w:rsidR="004A0322">
        <w:rPr>
          <w:rFonts w:asciiTheme="majorHAnsi" w:eastAsia="Batang" w:hAnsiTheme="majorHAnsi" w:cs="Times New Roman"/>
          <w:sz w:val="24"/>
          <w:szCs w:val="24"/>
        </w:rPr>
        <w:t>a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2F2EC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="00ED0556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>Radni odnos u Školi zasniva se ugovorom o radu na temelju javnog natječa</w:t>
      </w:r>
      <w:r w:rsidR="001E330B">
        <w:rPr>
          <w:rFonts w:asciiTheme="majorHAnsi" w:eastAsia="Batang" w:hAnsiTheme="majorHAnsi" w:cs="Times New Roman"/>
          <w:sz w:val="24"/>
          <w:szCs w:val="24"/>
          <w:lang w:eastAsia="hr-HR"/>
        </w:rPr>
        <w:t>ja (u daljnjem tekstu: natječa</w:t>
      </w:r>
      <w:r w:rsidR="003141A2">
        <w:rPr>
          <w:rFonts w:asciiTheme="majorHAnsi" w:eastAsia="Batang" w:hAnsiTheme="majorHAnsi" w:cs="Times New Roman"/>
          <w:sz w:val="24"/>
          <w:szCs w:val="24"/>
          <w:lang w:eastAsia="hr-HR"/>
        </w:rPr>
        <w:t>j</w:t>
      </w:r>
      <w:r w:rsidR="001E330B">
        <w:rPr>
          <w:rFonts w:asciiTheme="majorHAnsi" w:eastAsia="Batang" w:hAnsiTheme="majorHAnsi" w:cs="Times New Roman"/>
          <w:sz w:val="24"/>
          <w:szCs w:val="24"/>
          <w:lang w:eastAsia="hr-HR"/>
        </w:rPr>
        <w:t>)</w:t>
      </w: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FE459B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-naziv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2F7CEC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radno</w:t>
      </w:r>
      <w:r w:rsidR="003141A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764FDC" w:rsidP="001E330B">
      <w:pPr>
        <w:spacing w:after="0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46533A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</w:t>
      </w:r>
      <w:r w:rsidR="00122FF6">
        <w:rPr>
          <w:rFonts w:asciiTheme="majorHAnsi" w:eastAsia="Batang" w:hAnsiTheme="majorHAnsi" w:cs="Times New Roman"/>
          <w:sz w:val="24"/>
          <w:szCs w:val="24"/>
        </w:rPr>
        <w:t>aznaku probnog rada ako se ugova</w:t>
      </w:r>
      <w:r w:rsidRPr="009C6C4B">
        <w:rPr>
          <w:rFonts w:asciiTheme="majorHAnsi" w:eastAsia="Batang" w:hAnsiTheme="majorHAnsi" w:cs="Times New Roman"/>
          <w:sz w:val="24"/>
          <w:szCs w:val="24"/>
        </w:rPr>
        <w:t>ra,</w:t>
      </w:r>
    </w:p>
    <w:p w:rsidR="002B6F9B" w:rsidRPr="009C6C4B" w:rsidRDefault="002B6F9B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2B6F9B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8F6AAD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92DB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o načinu provođenja postupka vrednovanja</w:t>
      </w:r>
    </w:p>
    <w:p w:rsidR="002B6F9B" w:rsidRPr="009C6C4B" w:rsidRDefault="002B6F9B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-naznaku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7135D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7135D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</w:p>
    <w:p w:rsidR="00EC3B65" w:rsidRPr="009C6C4B" w:rsidRDefault="004427B5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8F6AAD">
        <w:rPr>
          <w:rFonts w:asciiTheme="majorHAnsi" w:eastAsia="Batang" w:hAnsiTheme="majorHAnsi" w:cs="Times New Roman"/>
          <w:sz w:val="24"/>
          <w:szCs w:val="24"/>
        </w:rPr>
        <w:t xml:space="preserve"> s potrebnom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dokumentacijom</w:t>
      </w:r>
      <w:r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0618DA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013C07" w:rsidP="001E330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7135D2">
        <w:rPr>
          <w:rFonts w:asciiTheme="majorHAnsi" w:eastAsia="Batang" w:hAnsiTheme="majorHAnsi" w:cs="Times New Roman"/>
          <w:sz w:val="24"/>
          <w:szCs w:val="24"/>
        </w:rPr>
        <w:t>način o</w:t>
      </w:r>
      <w:r w:rsidRPr="009C6C4B">
        <w:rPr>
          <w:rFonts w:asciiTheme="majorHAnsi" w:eastAsia="Batang" w:hAnsiTheme="majorHAnsi" w:cs="Times New Roman"/>
          <w:sz w:val="24"/>
          <w:szCs w:val="24"/>
        </w:rPr>
        <w:t>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C27C05" w:rsidP="001E330B">
      <w:pPr>
        <w:spacing w:after="0"/>
        <w:ind w:firstLine="708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6445C8" w:rsidP="001E330B">
      <w:pPr>
        <w:spacing w:after="0"/>
        <w:ind w:firstLine="708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1E330B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6445C8" w:rsidP="001E330B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4D1E3E" w:rsidRPr="009C6C4B" w:rsidRDefault="004D1E3E" w:rsidP="001E330B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A04DE7" w:rsidRDefault="00356704" w:rsidP="001E330B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:rsidR="00356704" w:rsidRPr="009C6C4B" w:rsidRDefault="00356704" w:rsidP="001E330B">
      <w:pPr>
        <w:tabs>
          <w:tab w:val="left" w:pos="3915"/>
        </w:tabs>
        <w:spacing w:after="0"/>
        <w:ind w:firstLine="426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1E330B">
      <w:pPr>
        <w:tabs>
          <w:tab w:val="left" w:pos="3915"/>
        </w:tabs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lastRenderedPageBreak/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</w:p>
    <w:p w:rsidR="00245A72" w:rsidRPr="009C6C4B" w:rsidRDefault="00245A72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D24F5F" w:rsidP="00764F3C">
      <w:pPr>
        <w:spacing w:after="0" w:line="240" w:lineRule="auto"/>
        <w:ind w:firstLine="708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D24F5F" w:rsidP="00764F3C">
      <w:pPr>
        <w:spacing w:after="0" w:line="240" w:lineRule="auto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Default="00D24F5F" w:rsidP="00764F3C">
      <w:pPr>
        <w:spacing w:after="0" w:line="240" w:lineRule="auto"/>
        <w:ind w:firstLine="708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  <w:r w:rsidR="00323811">
        <w:rPr>
          <w:rFonts w:asciiTheme="majorHAnsi" w:eastAsia="Batang" w:hAnsiTheme="majorHAnsi" w:cs="Times New Roman"/>
          <w:sz w:val="24"/>
          <w:szCs w:val="24"/>
        </w:rPr>
        <w:t>.</w:t>
      </w:r>
    </w:p>
    <w:p w:rsidR="00323811" w:rsidRPr="009C6C4B" w:rsidRDefault="003141A2" w:rsidP="00764F3C">
      <w:pPr>
        <w:spacing w:after="0" w:line="240" w:lineRule="auto"/>
        <w:ind w:firstLine="708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>Član</w:t>
      </w:r>
      <w:r w:rsidR="00323811">
        <w:rPr>
          <w:rFonts w:asciiTheme="majorHAnsi" w:eastAsia="Batang" w:hAnsiTheme="majorHAnsi" w:cs="Times New Roman"/>
          <w:sz w:val="24"/>
          <w:szCs w:val="24"/>
        </w:rPr>
        <w:t xml:space="preserve"> Povjerenstva ne može biti osoba koja je član školskog odbora.</w:t>
      </w:r>
    </w:p>
    <w:p w:rsidR="00D24F5F" w:rsidRPr="009C6C4B" w:rsidRDefault="00D24F5F" w:rsidP="00764F3C">
      <w:pPr>
        <w:spacing w:after="0" w:line="240" w:lineRule="auto"/>
        <w:ind w:firstLine="708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D24F5F" w:rsidP="00764F3C">
      <w:pPr>
        <w:spacing w:after="0" w:line="240" w:lineRule="auto"/>
        <w:ind w:firstLine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99636D" w:rsidRDefault="00D24F5F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99636D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99636D">
        <w:rPr>
          <w:rFonts w:asciiTheme="majorHAnsi" w:eastAsia="Batang" w:hAnsiTheme="majorHAnsi" w:cs="Times New Roman"/>
          <w:sz w:val="24"/>
          <w:szCs w:val="24"/>
        </w:rPr>
        <w:t>Školu</w:t>
      </w:r>
    </w:p>
    <w:p w:rsidR="0099636D" w:rsidRDefault="00EA6D25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uputio Ured državne uprave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</w:t>
      </w:r>
      <w:r w:rsidR="0099636D">
        <w:rPr>
          <w:rFonts w:asciiTheme="majorHAnsi" w:eastAsia="Batang" w:hAnsiTheme="majorHAnsi" w:cs="Times New Roman"/>
          <w:sz w:val="24"/>
          <w:szCs w:val="24"/>
        </w:rPr>
        <w:t>ne</w:t>
      </w:r>
      <w:r w:rsidR="007135D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99636D">
        <w:rPr>
          <w:rFonts w:asciiTheme="majorHAnsi" w:eastAsia="Batang" w:hAnsiTheme="majorHAnsi" w:cs="Times New Roman"/>
          <w:sz w:val="24"/>
          <w:szCs w:val="24"/>
        </w:rPr>
        <w:t>uvjete iz natječaja i čije su</w:t>
      </w:r>
    </w:p>
    <w:p w:rsidR="00D24F5F" w:rsidRPr="009C6C4B" w:rsidRDefault="00D24F5F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</w:t>
      </w:r>
      <w:r w:rsidR="0099636D">
        <w:rPr>
          <w:rFonts w:asciiTheme="majorHAnsi" w:eastAsia="Batang" w:hAnsiTheme="majorHAnsi" w:cs="Times New Roman"/>
          <w:sz w:val="24"/>
          <w:szCs w:val="24"/>
        </w:rPr>
        <w:t>kandidate s te liste upućuje na razgovor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</w:p>
    <w:p w:rsidR="00D24F5F" w:rsidRPr="009C6C4B" w:rsidRDefault="00D24F5F" w:rsidP="00764F3C">
      <w:pPr>
        <w:spacing w:after="0" w:line="240" w:lineRule="auto"/>
        <w:ind w:left="284" w:hanging="284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-objavljuje na </w:t>
      </w:r>
      <w:r w:rsidR="00392D82">
        <w:rPr>
          <w:rFonts w:asciiTheme="majorHAnsi" w:eastAsia="Batang" w:hAnsiTheme="majorHAnsi" w:cs="Times New Roman"/>
          <w:sz w:val="24"/>
          <w:szCs w:val="24"/>
        </w:rPr>
        <w:t xml:space="preserve">web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>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64F3C">
      <w:pPr>
        <w:spacing w:after="0" w:line="240" w:lineRule="auto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utvrđuje rang –listu  kandidata na temelju rezultata provedenog 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392D82" w:rsidRPr="009C6C4B" w:rsidRDefault="00392D82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</w:t>
      </w:r>
      <w:r w:rsidR="00DE664E">
        <w:rPr>
          <w:rFonts w:asciiTheme="majorHAnsi" w:eastAsia="Batang" w:hAnsiTheme="majorHAnsi" w:cs="Times New Roman"/>
          <w:sz w:val="24"/>
          <w:szCs w:val="24"/>
        </w:rPr>
        <w:t>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0B69DD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D110B7"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99636D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="00D110B7"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0B69DD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="00D110B7"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="00D110B7"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="00D110B7"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="007135D2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="00D110B7"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E47C9" w:rsidRPr="009C6C4B" w:rsidRDefault="00D110B7" w:rsidP="0012221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="0099636D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9C6C4B" w:rsidRDefault="00D370A7" w:rsidP="009C6C4B">
      <w:pPr>
        <w:spacing w:after="0"/>
        <w:rPr>
          <w:rFonts w:asciiTheme="majorHAnsi" w:eastAsia="Batang" w:hAnsiTheme="majorHAnsi" w:cs="Times New Roman"/>
          <w:i/>
        </w:rPr>
      </w:pPr>
      <w:r w:rsidRPr="009C6C4B">
        <w:rPr>
          <w:rFonts w:asciiTheme="majorHAnsi" w:eastAsia="Batang" w:hAnsiTheme="majorHAnsi" w:cs="Times New Roman"/>
          <w:i/>
        </w:rPr>
        <w:t xml:space="preserve">Vrednovanje kandidata upućenih od strane </w:t>
      </w:r>
      <w:r w:rsidR="007306CB" w:rsidRPr="009C6C4B">
        <w:rPr>
          <w:rFonts w:asciiTheme="majorHAnsi" w:eastAsia="Batang" w:hAnsiTheme="majorHAnsi" w:cs="Times New Roman"/>
          <w:i/>
        </w:rPr>
        <w:t>nadležnog U</w:t>
      </w:r>
      <w:r w:rsidRPr="009C6C4B">
        <w:rPr>
          <w:rFonts w:asciiTheme="majorHAnsi" w:eastAsia="Batang" w:hAnsiTheme="majorHAnsi" w:cs="Times New Roman"/>
          <w:i/>
        </w:rPr>
        <w:t>reda</w:t>
      </w:r>
      <w:r w:rsidR="00BB71B1" w:rsidRPr="009C6C4B">
        <w:rPr>
          <w:rFonts w:asciiTheme="majorHAnsi" w:eastAsia="Batang" w:hAnsiTheme="majorHAnsi" w:cs="Times New Roman"/>
          <w:i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E06B9C" w:rsidRPr="009C6C4B" w:rsidRDefault="007306CB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814DB3" w:rsidRPr="009C6C4B" w:rsidRDefault="00223C41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N.N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.″ broj: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121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.), ostvaruje to pravo u odnosu na ostale kandidate samo pod jednakim uvjetima i to redoslijedom utvrđenim člankom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102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stavak 1. točka a) do k) rečenog Zakona.</w:t>
      </w:r>
    </w:p>
    <w:p w:rsidR="009244B1" w:rsidRDefault="00A55DDC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Prednost iz stavka 1. ovoga članka mogu ostvariti i osobe iz članka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102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stavka 1. Zakona o hrvatskim braniteljima iz Domovinskog rata i članovima njihovih obitelji (″</w:t>
      </w:r>
      <w:r w:rsidR="007135D2" w:rsidRPr="009C6C4B">
        <w:rPr>
          <w:rFonts w:asciiTheme="majorHAnsi" w:eastAsia="Batang" w:hAnsiTheme="majorHAnsi" w:cs="Times New Roman"/>
          <w:sz w:val="24"/>
          <w:szCs w:val="24"/>
        </w:rPr>
        <w:t>NN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.″ broj: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121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.) koje su zaposlene na poslovima koji ne odgovaraju njihovoj stručnoj spremi.</w:t>
      </w: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proofErr w:type="spellEnd"/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48.f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Zakona o zaštiti vojnih i civilnih invalida rata ("</w:t>
      </w:r>
      <w:r w:rsidR="007135D2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NN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." broj: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57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77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27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58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 2/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76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108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95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108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96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82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01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03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i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.)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, ostvaruje to pravo u odnosu na ostale kandidate samo pod jednakim uvjetima i to redoslijedom utvrđenim člankom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48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 xml:space="preserve">vljenih na natječaj iz članka </w:t>
      </w:r>
      <w:proofErr w:type="spellStart"/>
      <w:r w:rsidR="00814DB3" w:rsidRPr="009C6C4B">
        <w:rPr>
          <w:rFonts w:asciiTheme="majorHAnsi" w:eastAsia="Batang" w:hAnsiTheme="majorHAnsi" w:cs="Times New Roman"/>
          <w:sz w:val="24"/>
          <w:szCs w:val="24"/>
        </w:rPr>
        <w:t>12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14</w:t>
      </w:r>
      <w:proofErr w:type="spellEnd"/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9. Zakona o profesionalnoj rehabilitaciji i zapošljavanju osoba s invaliditetom ("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N.N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." broj: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157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.,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152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i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39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/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 xml:space="preserve">čaj iz članka </w:t>
      </w:r>
      <w:proofErr w:type="spellStart"/>
      <w:r w:rsidR="00814DB3" w:rsidRPr="009C6C4B">
        <w:rPr>
          <w:rFonts w:asciiTheme="majorHAnsi" w:eastAsia="Batang" w:hAnsiTheme="majorHAnsi" w:cs="Times New Roman"/>
          <w:sz w:val="24"/>
          <w:szCs w:val="24"/>
        </w:rPr>
        <w:t>12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proofErr w:type="spellStart"/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15</w:t>
      </w:r>
      <w:proofErr w:type="spellEnd"/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proofErr w:type="spellStart"/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do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102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48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proofErr w:type="spellEnd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Zakona iz članka </w:t>
      </w:r>
      <w:proofErr w:type="spellStart"/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proofErr w:type="spellEnd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do </w:t>
      </w:r>
      <w:proofErr w:type="spellStart"/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14.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16</w:t>
      </w:r>
      <w:proofErr w:type="spellEnd"/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proofErr w:type="spellStart"/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</w:t>
      </w:r>
      <w:proofErr w:type="spellEnd"/>
      <w:r w:rsidR="00604840" w:rsidRPr="009C6C4B">
        <w:rPr>
          <w:rFonts w:asciiTheme="majorHAnsi" w:eastAsia="Batang" w:hAnsiTheme="majorHAnsi" w:cs="Times New Roman"/>
          <w:sz w:val="24"/>
          <w:szCs w:val="24"/>
        </w:rPr>
        <w:t>. Zakona.</w:t>
      </w: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proofErr w:type="spellEnd"/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se Školski odbor ne očituje u roku od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10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proofErr w:type="spellStart"/>
      <w:r w:rsidRPr="009C6C4B">
        <w:rPr>
          <w:rFonts w:asciiTheme="majorHAnsi" w:eastAsia="Batang" w:hAnsiTheme="majorHAnsi" w:cs="Times New Roman"/>
          <w:i/>
          <w:sz w:val="24"/>
          <w:szCs w:val="24"/>
        </w:rPr>
        <w:t>Odustanak</w:t>
      </w:r>
      <w:proofErr w:type="spellEnd"/>
      <w:r w:rsidR="00B40F76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3141A2" w:rsidRDefault="003141A2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3141A2" w:rsidRDefault="003141A2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18</w:t>
      </w:r>
      <w:proofErr w:type="spellEnd"/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9244B1" w:rsidRPr="009C6C4B" w:rsidRDefault="009244B1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 slučaju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odustanka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izabranog kandidata od zasnivanje radnog odnosa u školskoj ustanovi, ravnatelj će izabrati drugog kandidata s rang liste iz članka </w:t>
      </w:r>
      <w:proofErr w:type="spellStart"/>
      <w:r w:rsidRPr="009C6C4B">
        <w:rPr>
          <w:rFonts w:asciiTheme="majorHAnsi" w:eastAsia="Batang" w:hAnsiTheme="majorHAnsi" w:cs="Times New Roman"/>
          <w:sz w:val="24"/>
          <w:szCs w:val="24"/>
        </w:rPr>
        <w:t>15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Pr="009C6C4B">
        <w:rPr>
          <w:rFonts w:asciiTheme="majorHAnsi" w:eastAsia="Batang" w:hAnsiTheme="majorHAnsi" w:cs="Times New Roman"/>
          <w:b/>
          <w:sz w:val="24"/>
          <w:szCs w:val="24"/>
        </w:rPr>
        <w:t>19</w:t>
      </w:r>
      <w:proofErr w:type="spellEnd"/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617BE8" w:rsidRPr="00122215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</w:t>
      </w:r>
      <w:proofErr w:type="spellEnd"/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 xml:space="preserve">ra iz članka </w:t>
      </w:r>
      <w:proofErr w:type="spellStart"/>
      <w:r w:rsidR="00291F6E" w:rsidRPr="009C6C4B">
        <w:rPr>
          <w:rFonts w:asciiTheme="majorHAnsi" w:eastAsia="Batang" w:hAnsiTheme="majorHAnsi" w:cs="Times New Roman"/>
          <w:sz w:val="24"/>
          <w:szCs w:val="24"/>
        </w:rPr>
        <w:t>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proofErr w:type="spellEnd"/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:rsidR="00122215" w:rsidRDefault="00122215" w:rsidP="00DD6D03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proofErr w:type="spellEnd"/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FB2C2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Kandidate 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koji u prov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>edenom natječajnom postupku nisu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izab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>rani</w:t>
      </w:r>
      <w:r w:rsidR="00BF2F17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Škola o ishodu natječaja obavještava putem</w:t>
      </w:r>
      <w:r w:rsidR="00BF2F17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svoje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BF2F17">
        <w:rPr>
          <w:rFonts w:asciiTheme="majorHAnsi" w:eastAsia="Batang" w:hAnsiTheme="majorHAnsi" w:cs="Times New Roman"/>
          <w:sz w:val="24"/>
          <w:szCs w:val="24"/>
          <w:lang w:eastAsia="hr-HR"/>
        </w:rPr>
        <w:t>mrežne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stranice</w:t>
      </w:r>
      <w:r w:rsidR="00BF2F17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06066B">
        <w:rPr>
          <w:rFonts w:asciiTheme="majorHAnsi" w:eastAsia="Batang" w:hAnsiTheme="majorHAnsi" w:cs="Times New Roman"/>
          <w:sz w:val="24"/>
          <w:szCs w:val="24"/>
          <w:lang w:eastAsia="hr-HR"/>
        </w:rPr>
        <w:t>objavom obavijesti o ishodu natječaja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                            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proofErr w:type="spellStart"/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proofErr w:type="spellEnd"/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65C1C" w:rsidRPr="009C6C4B" w:rsidRDefault="00C8168A" w:rsidP="00B40F76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načinu i postupku zapošljavanja u </w:t>
      </w:r>
      <w:r w:rsidR="00A04DE7" w:rsidRPr="00A04DE7">
        <w:rPr>
          <w:rFonts w:asciiTheme="majorHAnsi" w:eastAsia="Batang" w:hAnsiTheme="majorHAnsi"/>
          <w:lang w:val="hr-HR"/>
        </w:rPr>
        <w:t xml:space="preserve">Osnovnoj školi Sveti Filip i Jakov, Ulica učiteljice Karmele </w:t>
      </w:r>
      <w:proofErr w:type="spellStart"/>
      <w:r w:rsidR="00A04DE7" w:rsidRPr="00A04DE7">
        <w:rPr>
          <w:rFonts w:asciiTheme="majorHAnsi" w:eastAsia="Batang" w:hAnsiTheme="majorHAnsi"/>
          <w:lang w:val="hr-HR"/>
        </w:rPr>
        <w:t>Pelicarić</w:t>
      </w:r>
      <w:proofErr w:type="spellEnd"/>
      <w:r w:rsidR="00A04DE7" w:rsidRPr="00A04DE7">
        <w:rPr>
          <w:rFonts w:asciiTheme="majorHAnsi" w:eastAsia="Batang" w:hAnsiTheme="majorHAnsi"/>
          <w:lang w:val="hr-HR"/>
        </w:rPr>
        <w:t xml:space="preserve"> Marušić </w:t>
      </w:r>
      <w:proofErr w:type="spellStart"/>
      <w:r w:rsidR="00A04DE7" w:rsidRPr="00A04DE7">
        <w:rPr>
          <w:rFonts w:asciiTheme="majorHAnsi" w:eastAsia="Batang" w:hAnsiTheme="majorHAnsi"/>
          <w:lang w:val="hr-HR"/>
        </w:rPr>
        <w:t>10</w:t>
      </w:r>
      <w:proofErr w:type="spellEnd"/>
      <w:r w:rsidR="00B40F76">
        <w:rPr>
          <w:rFonts w:asciiTheme="majorHAnsi" w:eastAsia="Batang" w:hAnsiTheme="majorHAnsi"/>
          <w:lang w:val="hr-HR"/>
        </w:rPr>
        <w:t xml:space="preserve"> usvojen </w:t>
      </w:r>
      <w:r w:rsidR="00765C1C" w:rsidRPr="009C6C4B">
        <w:rPr>
          <w:rFonts w:asciiTheme="majorHAnsi" w:eastAsia="Batang" w:hAnsiTheme="majorHAnsi"/>
          <w:lang w:val="hr-HR"/>
        </w:rPr>
        <w:t xml:space="preserve"> je na</w:t>
      </w:r>
      <w:r w:rsidR="00B60278">
        <w:rPr>
          <w:rFonts w:asciiTheme="majorHAnsi" w:eastAsia="Batang" w:hAnsiTheme="majorHAnsi"/>
          <w:lang w:val="hr-HR"/>
        </w:rPr>
        <w:t xml:space="preserve"> </w:t>
      </w:r>
      <w:proofErr w:type="spellStart"/>
      <w:r w:rsidR="00B60278">
        <w:rPr>
          <w:rFonts w:asciiTheme="majorHAnsi" w:eastAsia="Batang" w:hAnsiTheme="majorHAnsi"/>
          <w:lang w:val="hr-HR"/>
        </w:rPr>
        <w:t>26</w:t>
      </w:r>
      <w:proofErr w:type="spellEnd"/>
      <w:r w:rsidR="00B60278">
        <w:rPr>
          <w:rFonts w:asciiTheme="majorHAnsi" w:eastAsia="Batang" w:hAnsiTheme="majorHAnsi"/>
          <w:lang w:val="hr-HR"/>
        </w:rPr>
        <w:t>.</w:t>
      </w:r>
      <w:r w:rsidR="00765C1C" w:rsidRPr="009C6C4B">
        <w:rPr>
          <w:rFonts w:asciiTheme="majorHAnsi" w:eastAsia="Batang" w:hAnsiTheme="majorHAnsi"/>
          <w:lang w:val="hr-HR"/>
        </w:rPr>
        <w:t xml:space="preserve">  sjednici Školskog odbora od </w:t>
      </w:r>
      <w:r w:rsidR="00B60278">
        <w:rPr>
          <w:rFonts w:asciiTheme="majorHAnsi" w:eastAsia="Batang" w:hAnsiTheme="majorHAnsi"/>
          <w:lang w:val="hr-HR"/>
        </w:rPr>
        <w:t>4. veljače</w:t>
      </w:r>
      <w:r w:rsidR="00A221D5" w:rsidRPr="009C6C4B">
        <w:rPr>
          <w:rFonts w:asciiTheme="majorHAnsi" w:eastAsia="Batang" w:hAnsiTheme="majorHAnsi"/>
          <w:lang w:val="hr-HR"/>
        </w:rPr>
        <w:t xml:space="preserve"> </w:t>
      </w:r>
      <w:proofErr w:type="spellStart"/>
      <w:r w:rsidR="00765C1C" w:rsidRPr="009C6C4B">
        <w:rPr>
          <w:rFonts w:asciiTheme="majorHAnsi" w:eastAsia="Batang" w:hAnsiTheme="majorHAnsi"/>
          <w:lang w:val="hr-HR"/>
        </w:rPr>
        <w:t>2019</w:t>
      </w:r>
      <w:proofErr w:type="spellEnd"/>
      <w:r w:rsidR="00765C1C" w:rsidRPr="009C6C4B">
        <w:rPr>
          <w:rFonts w:asciiTheme="majorHAnsi" w:eastAsia="Batang" w:hAnsiTheme="majorHAnsi"/>
          <w:lang w:val="hr-HR"/>
        </w:rPr>
        <w:t>. godine.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141A2" w:rsidRDefault="003141A2" w:rsidP="00BE0240">
      <w:pPr>
        <w:pStyle w:val="Tijeloteksta"/>
        <w:rPr>
          <w:rFonts w:asciiTheme="majorHAnsi" w:eastAsia="Batang" w:hAnsiTheme="majorHAnsi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proofErr w:type="spellStart"/>
      <w:r w:rsidR="00F2716B">
        <w:rPr>
          <w:rFonts w:asciiTheme="majorHAnsi" w:eastAsia="Batang" w:hAnsiTheme="majorHAnsi"/>
        </w:rPr>
        <w:t>003</w:t>
      </w:r>
      <w:proofErr w:type="spellEnd"/>
      <w:r w:rsidR="00F2716B">
        <w:rPr>
          <w:rFonts w:asciiTheme="majorHAnsi" w:eastAsia="Batang" w:hAnsiTheme="majorHAnsi"/>
        </w:rPr>
        <w:t>-</w:t>
      </w:r>
      <w:proofErr w:type="spellStart"/>
      <w:r w:rsidR="00F2716B">
        <w:rPr>
          <w:rFonts w:asciiTheme="majorHAnsi" w:eastAsia="Batang" w:hAnsiTheme="majorHAnsi"/>
        </w:rPr>
        <w:t>05</w:t>
      </w:r>
      <w:proofErr w:type="spellEnd"/>
      <w:r w:rsidR="00F2716B">
        <w:rPr>
          <w:rFonts w:asciiTheme="majorHAnsi" w:eastAsia="Batang" w:hAnsiTheme="majorHAnsi"/>
        </w:rPr>
        <w:t>/</w:t>
      </w:r>
      <w:proofErr w:type="spellStart"/>
      <w:r w:rsidR="00F2716B">
        <w:rPr>
          <w:rFonts w:asciiTheme="majorHAnsi" w:eastAsia="Batang" w:hAnsiTheme="majorHAnsi"/>
        </w:rPr>
        <w:t>19</w:t>
      </w:r>
      <w:proofErr w:type="spellEnd"/>
      <w:r w:rsidR="00F2716B">
        <w:rPr>
          <w:rFonts w:asciiTheme="majorHAnsi" w:eastAsia="Batang" w:hAnsiTheme="majorHAnsi"/>
        </w:rPr>
        <w:t>-</w:t>
      </w:r>
      <w:proofErr w:type="spellStart"/>
      <w:r w:rsidR="00F2716B">
        <w:rPr>
          <w:rFonts w:asciiTheme="majorHAnsi" w:eastAsia="Batang" w:hAnsiTheme="majorHAnsi"/>
        </w:rPr>
        <w:t>01</w:t>
      </w:r>
      <w:proofErr w:type="spellEnd"/>
      <w:r w:rsidR="00F2716B">
        <w:rPr>
          <w:rFonts w:asciiTheme="majorHAnsi" w:eastAsia="Batang" w:hAnsiTheme="majorHAnsi"/>
        </w:rPr>
        <w:t>/</w:t>
      </w:r>
      <w:proofErr w:type="spellStart"/>
      <w:r w:rsidR="00F2716B">
        <w:rPr>
          <w:rFonts w:asciiTheme="majorHAnsi" w:eastAsia="Batang" w:hAnsiTheme="majorHAnsi"/>
        </w:rPr>
        <w:t>01</w:t>
      </w:r>
      <w:proofErr w:type="spellEnd"/>
    </w:p>
    <w:p w:rsidR="001D6627" w:rsidRPr="009C6C4B" w:rsidRDefault="00BE0240" w:rsidP="001D6627">
      <w:pPr>
        <w:pStyle w:val="Tijeloteksta"/>
        <w:rPr>
          <w:rFonts w:asciiTheme="majorHAnsi" w:eastAsia="Batang" w:hAnsiTheme="majorHAnsi"/>
        </w:rPr>
      </w:pPr>
      <w:proofErr w:type="spellStart"/>
      <w:r w:rsidRPr="009C6C4B">
        <w:rPr>
          <w:rFonts w:asciiTheme="majorHAnsi" w:eastAsia="Batang" w:hAnsiTheme="majorHAnsi"/>
        </w:rPr>
        <w:t>URBROJ</w:t>
      </w:r>
      <w:proofErr w:type="spellEnd"/>
      <w:r w:rsidRPr="009C6C4B">
        <w:rPr>
          <w:rFonts w:asciiTheme="majorHAnsi" w:eastAsia="Batang" w:hAnsiTheme="majorHAnsi"/>
        </w:rPr>
        <w:t>:</w:t>
      </w:r>
      <w:r w:rsidR="001D6627" w:rsidRPr="009C6C4B">
        <w:rPr>
          <w:rFonts w:asciiTheme="majorHAnsi" w:eastAsia="Batang" w:hAnsiTheme="majorHAnsi"/>
        </w:rPr>
        <w:t xml:space="preserve"> </w:t>
      </w:r>
      <w:proofErr w:type="spellStart"/>
      <w:r w:rsidR="00F2716B">
        <w:rPr>
          <w:rFonts w:asciiTheme="majorHAnsi" w:eastAsia="Batang" w:hAnsiTheme="majorHAnsi"/>
        </w:rPr>
        <w:t>2198</w:t>
      </w:r>
      <w:proofErr w:type="spellEnd"/>
      <w:r w:rsidR="00F2716B">
        <w:rPr>
          <w:rFonts w:asciiTheme="majorHAnsi" w:eastAsia="Batang" w:hAnsiTheme="majorHAnsi"/>
        </w:rPr>
        <w:t>-1-</w:t>
      </w:r>
      <w:proofErr w:type="spellStart"/>
      <w:r w:rsidR="00F2716B">
        <w:rPr>
          <w:rFonts w:asciiTheme="majorHAnsi" w:eastAsia="Batang" w:hAnsiTheme="majorHAnsi"/>
        </w:rPr>
        <w:t>42</w:t>
      </w:r>
      <w:proofErr w:type="spellEnd"/>
      <w:r w:rsidR="00F2716B">
        <w:rPr>
          <w:rFonts w:asciiTheme="majorHAnsi" w:eastAsia="Batang" w:hAnsiTheme="majorHAnsi"/>
        </w:rPr>
        <w:t>-</w:t>
      </w:r>
      <w:proofErr w:type="spellStart"/>
      <w:r w:rsidR="00F2716B">
        <w:rPr>
          <w:rFonts w:asciiTheme="majorHAnsi" w:eastAsia="Batang" w:hAnsiTheme="majorHAnsi"/>
        </w:rPr>
        <w:t>06</w:t>
      </w:r>
      <w:proofErr w:type="spellEnd"/>
      <w:r w:rsidR="00F2716B">
        <w:rPr>
          <w:rFonts w:asciiTheme="majorHAnsi" w:eastAsia="Batang" w:hAnsiTheme="majorHAnsi"/>
        </w:rPr>
        <w:t>-</w:t>
      </w:r>
      <w:proofErr w:type="spellStart"/>
      <w:r w:rsidR="00F2716B">
        <w:rPr>
          <w:rFonts w:asciiTheme="majorHAnsi" w:eastAsia="Batang" w:hAnsiTheme="majorHAnsi"/>
        </w:rPr>
        <w:t>19</w:t>
      </w:r>
      <w:proofErr w:type="spellEnd"/>
      <w:r w:rsidR="00F2716B">
        <w:rPr>
          <w:rFonts w:asciiTheme="majorHAnsi" w:eastAsia="Batang" w:hAnsiTheme="majorHAnsi"/>
        </w:rPr>
        <w:t>-1</w:t>
      </w:r>
    </w:p>
    <w:p w:rsidR="001D6627" w:rsidRDefault="00E55E94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Mjesto i datum</w:t>
      </w:r>
      <w:r w:rsidR="00122215">
        <w:rPr>
          <w:rFonts w:asciiTheme="majorHAnsi" w:eastAsia="Batang" w:hAnsiTheme="majorHAnsi"/>
        </w:rPr>
        <w:t>:</w:t>
      </w:r>
      <w:r>
        <w:rPr>
          <w:rFonts w:asciiTheme="majorHAnsi" w:eastAsia="Batang" w:hAnsiTheme="majorHAnsi"/>
        </w:rPr>
        <w:t xml:space="preserve"> </w:t>
      </w:r>
      <w:r w:rsidR="00122215">
        <w:rPr>
          <w:rFonts w:asciiTheme="majorHAnsi" w:eastAsia="Batang" w:hAnsiTheme="majorHAnsi"/>
        </w:rPr>
        <w:t xml:space="preserve">Sveti Filip i Jakov, </w:t>
      </w:r>
      <w:r w:rsidR="00F2716B">
        <w:rPr>
          <w:rFonts w:asciiTheme="majorHAnsi" w:eastAsia="Batang" w:hAnsiTheme="majorHAnsi"/>
        </w:rPr>
        <w:t xml:space="preserve">4. veljače </w:t>
      </w:r>
      <w:proofErr w:type="spellStart"/>
      <w:r w:rsidR="00F2716B">
        <w:rPr>
          <w:rFonts w:asciiTheme="majorHAnsi" w:eastAsia="Batang" w:hAnsiTheme="majorHAnsi"/>
        </w:rPr>
        <w:t>2019</w:t>
      </w:r>
      <w:proofErr w:type="spellEnd"/>
    </w:p>
    <w:p w:rsidR="00F2716B" w:rsidRDefault="00F2716B" w:rsidP="001D6627">
      <w:pPr>
        <w:pStyle w:val="Tijeloteksta"/>
        <w:rPr>
          <w:rFonts w:asciiTheme="majorHAnsi" w:eastAsia="Batang" w:hAnsiTheme="majorHAnsi"/>
        </w:rPr>
      </w:pPr>
    </w:p>
    <w:p w:rsidR="00F2716B" w:rsidRPr="009C6C4B" w:rsidRDefault="00F2716B" w:rsidP="001D6627">
      <w:pPr>
        <w:pStyle w:val="Tijeloteksta"/>
        <w:rPr>
          <w:rFonts w:asciiTheme="majorHAnsi" w:eastAsia="Batang" w:hAnsiTheme="majorHAnsi"/>
        </w:rPr>
      </w:pPr>
    </w:p>
    <w:p w:rsidR="00595FEC" w:rsidRPr="009C6C4B" w:rsidRDefault="00595FEC" w:rsidP="00F2716B">
      <w:pPr>
        <w:pStyle w:val="Tijeloteksta"/>
        <w:jc w:val="righ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Predsjednik Školskog odbora</w:t>
      </w:r>
      <w:r w:rsidR="00122215">
        <w:rPr>
          <w:rFonts w:asciiTheme="majorHAnsi" w:eastAsia="Batang" w:hAnsiTheme="majorHAnsi"/>
        </w:rPr>
        <w:t>: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      </w:t>
      </w:r>
      <w:r w:rsidR="00F2716B">
        <w:rPr>
          <w:rFonts w:asciiTheme="majorHAnsi" w:eastAsia="Batang" w:hAnsiTheme="majorHAnsi" w:cs="Times New Roman"/>
          <w:sz w:val="24"/>
          <w:szCs w:val="24"/>
        </w:rPr>
        <w:t xml:space="preserve">            </w:t>
      </w:r>
      <w:r w:rsidR="00122215">
        <w:rPr>
          <w:rFonts w:asciiTheme="majorHAnsi" w:eastAsia="Batang" w:hAnsiTheme="majorHAnsi" w:cs="Times New Roman"/>
          <w:sz w:val="24"/>
          <w:szCs w:val="24"/>
        </w:rPr>
        <w:t xml:space="preserve">Rikardo </w:t>
      </w:r>
      <w:proofErr w:type="spellStart"/>
      <w:r w:rsidR="00122215">
        <w:rPr>
          <w:rFonts w:asciiTheme="majorHAnsi" w:eastAsia="Batang" w:hAnsiTheme="majorHAnsi" w:cs="Times New Roman"/>
          <w:sz w:val="24"/>
          <w:szCs w:val="24"/>
        </w:rPr>
        <w:t>Baričić</w:t>
      </w:r>
      <w:proofErr w:type="spellEnd"/>
      <w:r w:rsidR="00122215">
        <w:rPr>
          <w:rFonts w:asciiTheme="majorHAnsi" w:eastAsia="Batang" w:hAnsiTheme="majorHAnsi" w:cs="Times New Roman"/>
          <w:sz w:val="24"/>
          <w:szCs w:val="24"/>
        </w:rPr>
        <w:t>, prof.</w:t>
      </w:r>
    </w:p>
    <w:p w:rsidR="00F2716B" w:rsidRDefault="00F2716B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141A2" w:rsidRDefault="003141A2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141A2" w:rsidRPr="009C6C4B" w:rsidRDefault="003141A2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:rsidR="00D3294C" w:rsidRPr="009C6C4B" w:rsidRDefault="00D3294C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Ovaj Pravilnik objavljen je </w:t>
      </w:r>
      <w:r w:rsidR="00573B66">
        <w:rPr>
          <w:rFonts w:asciiTheme="majorHAnsi" w:eastAsia="Batang" w:hAnsiTheme="majorHAnsi"/>
        </w:rPr>
        <w:t xml:space="preserve">3. svibnja </w:t>
      </w:r>
      <w:proofErr w:type="spellStart"/>
      <w:r w:rsidR="00573B66">
        <w:rPr>
          <w:rFonts w:asciiTheme="majorHAnsi" w:eastAsia="Batang" w:hAnsiTheme="majorHAnsi"/>
        </w:rPr>
        <w:t>2019</w:t>
      </w:r>
      <w:proofErr w:type="spellEnd"/>
      <w:r w:rsidRPr="009C6C4B">
        <w:rPr>
          <w:rFonts w:asciiTheme="majorHAnsi" w:eastAsia="Batang" w:hAnsiTheme="majorHAnsi"/>
        </w:rPr>
        <w:t xml:space="preserve">. godine i stupa na snagu </w:t>
      </w:r>
      <w:proofErr w:type="spellStart"/>
      <w:r w:rsidR="00097083">
        <w:rPr>
          <w:rFonts w:asciiTheme="majorHAnsi" w:eastAsia="Batang" w:hAnsiTheme="majorHAnsi"/>
        </w:rPr>
        <w:t>11</w:t>
      </w:r>
      <w:bookmarkStart w:id="0" w:name="_GoBack"/>
      <w:bookmarkEnd w:id="0"/>
      <w:proofErr w:type="spellEnd"/>
      <w:r w:rsidR="00573B66">
        <w:rPr>
          <w:rFonts w:asciiTheme="majorHAnsi" w:eastAsia="Batang" w:hAnsiTheme="majorHAnsi"/>
        </w:rPr>
        <w:t xml:space="preserve">. svibnja </w:t>
      </w:r>
      <w:proofErr w:type="spellStart"/>
      <w:r w:rsidR="00573B66">
        <w:rPr>
          <w:rFonts w:asciiTheme="majorHAnsi" w:eastAsia="Batang" w:hAnsiTheme="majorHAnsi"/>
        </w:rPr>
        <w:t>2019</w:t>
      </w:r>
      <w:proofErr w:type="spellEnd"/>
      <w:r w:rsidRPr="009C6C4B">
        <w:rPr>
          <w:rFonts w:asciiTheme="majorHAnsi" w:eastAsia="Batang" w:hAnsiTheme="majorHAnsi"/>
        </w:rPr>
        <w:t>. godine.</w:t>
      </w:r>
    </w:p>
    <w:p w:rsidR="00D3294C" w:rsidRDefault="00D3294C" w:rsidP="00D3294C">
      <w:pPr>
        <w:pStyle w:val="Tijeloteksta"/>
        <w:jc w:val="left"/>
        <w:rPr>
          <w:rFonts w:asciiTheme="majorHAnsi" w:eastAsia="Batang" w:hAnsiTheme="majorHAnsi"/>
        </w:rPr>
      </w:pPr>
    </w:p>
    <w:p w:rsidR="00F2716B" w:rsidRDefault="00F2716B" w:rsidP="00D3294C">
      <w:pPr>
        <w:pStyle w:val="Tijeloteksta"/>
        <w:jc w:val="left"/>
        <w:rPr>
          <w:rFonts w:asciiTheme="majorHAnsi" w:eastAsia="Batang" w:hAnsiTheme="majorHAnsi"/>
        </w:rPr>
      </w:pPr>
    </w:p>
    <w:p w:rsidR="00F2716B" w:rsidRPr="009C6C4B" w:rsidRDefault="00F2716B" w:rsidP="00D3294C">
      <w:pPr>
        <w:pStyle w:val="Tijeloteksta"/>
        <w:jc w:val="left"/>
        <w:rPr>
          <w:rFonts w:asciiTheme="majorHAnsi" w:eastAsia="Batang" w:hAnsiTheme="majorHAnsi"/>
        </w:rPr>
      </w:pPr>
    </w:p>
    <w:p w:rsidR="00DD6D03" w:rsidRPr="009C6C4B" w:rsidRDefault="00F2716B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</w:t>
      </w:r>
      <w:r w:rsidR="00D3294C" w:rsidRPr="009C6C4B">
        <w:rPr>
          <w:rFonts w:asciiTheme="majorHAnsi" w:eastAsia="Batang" w:hAnsiTheme="majorHAnsi"/>
        </w:rPr>
        <w:t>Ravnatelj</w:t>
      </w:r>
      <w:r w:rsidR="00573B66">
        <w:rPr>
          <w:rFonts w:asciiTheme="majorHAnsi" w:eastAsia="Batang" w:hAnsiTheme="majorHAnsi"/>
        </w:rPr>
        <w:t>ica</w:t>
      </w:r>
    </w:p>
    <w:p w:rsidR="00D3294C" w:rsidRPr="009C6C4B" w:rsidRDefault="00122215" w:rsidP="00DD6D03">
      <w:pPr>
        <w:pStyle w:val="Tijeloteksta"/>
        <w:ind w:left="5760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Gordana </w:t>
      </w:r>
      <w:proofErr w:type="spellStart"/>
      <w:r>
        <w:rPr>
          <w:rFonts w:asciiTheme="majorHAnsi" w:eastAsia="Batang" w:hAnsiTheme="majorHAnsi"/>
        </w:rPr>
        <w:t>Kurtov</w:t>
      </w:r>
      <w:proofErr w:type="spellEnd"/>
      <w:r>
        <w:rPr>
          <w:rFonts w:asciiTheme="majorHAnsi" w:eastAsia="Batang" w:hAnsiTheme="majorHAnsi"/>
        </w:rPr>
        <w:t xml:space="preserve">, </w:t>
      </w:r>
      <w:proofErr w:type="spellStart"/>
      <w:r>
        <w:rPr>
          <w:rFonts w:asciiTheme="majorHAnsi" w:eastAsia="Batang" w:hAnsiTheme="majorHAnsi"/>
        </w:rPr>
        <w:t>dipl.ing</w:t>
      </w:r>
      <w:proofErr w:type="spellEnd"/>
      <w:r>
        <w:rPr>
          <w:rFonts w:asciiTheme="majorHAnsi" w:eastAsia="Batang" w:hAnsiTheme="majorHAnsi"/>
        </w:rPr>
        <w:t>.</w:t>
      </w:r>
    </w:p>
    <w:p w:rsidR="00D3294C" w:rsidRPr="009C6C4B" w:rsidRDefault="00D3294C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D3294C" w:rsidRPr="009C6C4B" w:rsidRDefault="00BF7ECA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 w:rsidSect="00411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A" w:rsidRDefault="00160F8A" w:rsidP="000A75EC">
      <w:pPr>
        <w:spacing w:after="0" w:line="240" w:lineRule="auto"/>
      </w:pPr>
      <w:r>
        <w:separator/>
      </w:r>
    </w:p>
  </w:endnote>
  <w:endnote w:type="continuationSeparator" w:id="0">
    <w:p w:rsidR="00160F8A" w:rsidRDefault="00160F8A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E205C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097083">
          <w:rPr>
            <w:noProof/>
          </w:rPr>
          <w:t>9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A" w:rsidRDefault="00160F8A" w:rsidP="000A75EC">
      <w:pPr>
        <w:spacing w:after="0" w:line="240" w:lineRule="auto"/>
      </w:pPr>
      <w:r>
        <w:separator/>
      </w:r>
    </w:p>
  </w:footnote>
  <w:footnote w:type="continuationSeparator" w:id="0">
    <w:p w:rsidR="00160F8A" w:rsidRDefault="00160F8A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62E7"/>
    <w:rsid w:val="00027007"/>
    <w:rsid w:val="000405BF"/>
    <w:rsid w:val="00040DF8"/>
    <w:rsid w:val="000519DE"/>
    <w:rsid w:val="000545DD"/>
    <w:rsid w:val="0005711F"/>
    <w:rsid w:val="00057571"/>
    <w:rsid w:val="0006066B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97083"/>
    <w:rsid w:val="000A2380"/>
    <w:rsid w:val="000A26C3"/>
    <w:rsid w:val="000A4957"/>
    <w:rsid w:val="000A4B45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0829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2215"/>
    <w:rsid w:val="00122FF6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6E9C"/>
    <w:rsid w:val="00157172"/>
    <w:rsid w:val="00160364"/>
    <w:rsid w:val="00160F8A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30B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11376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2F1D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E3CD8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1A2"/>
    <w:rsid w:val="00314C2F"/>
    <w:rsid w:val="00315F94"/>
    <w:rsid w:val="00316829"/>
    <w:rsid w:val="0032073D"/>
    <w:rsid w:val="00321FD0"/>
    <w:rsid w:val="00323811"/>
    <w:rsid w:val="003243FA"/>
    <w:rsid w:val="003245F5"/>
    <w:rsid w:val="00325896"/>
    <w:rsid w:val="00331851"/>
    <w:rsid w:val="00335499"/>
    <w:rsid w:val="003356EF"/>
    <w:rsid w:val="003366F0"/>
    <w:rsid w:val="00336D6E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0A2"/>
    <w:rsid w:val="003633CF"/>
    <w:rsid w:val="00364F0F"/>
    <w:rsid w:val="003650BD"/>
    <w:rsid w:val="00365C77"/>
    <w:rsid w:val="003717F3"/>
    <w:rsid w:val="0037313C"/>
    <w:rsid w:val="003776D6"/>
    <w:rsid w:val="00380A88"/>
    <w:rsid w:val="0038330A"/>
    <w:rsid w:val="003845DF"/>
    <w:rsid w:val="003846B5"/>
    <w:rsid w:val="003853F2"/>
    <w:rsid w:val="003857E1"/>
    <w:rsid w:val="00385F5D"/>
    <w:rsid w:val="0038716C"/>
    <w:rsid w:val="00390A1C"/>
    <w:rsid w:val="00392D82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5C09"/>
    <w:rsid w:val="004073E0"/>
    <w:rsid w:val="00407DF8"/>
    <w:rsid w:val="004113BA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032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73B66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600582"/>
    <w:rsid w:val="00604840"/>
    <w:rsid w:val="006049CD"/>
    <w:rsid w:val="00605CDE"/>
    <w:rsid w:val="00611C23"/>
    <w:rsid w:val="00614A45"/>
    <w:rsid w:val="00615789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4A07"/>
    <w:rsid w:val="006F5C13"/>
    <w:rsid w:val="007006AC"/>
    <w:rsid w:val="00700A8C"/>
    <w:rsid w:val="007016D3"/>
    <w:rsid w:val="00702513"/>
    <w:rsid w:val="007038DE"/>
    <w:rsid w:val="00704772"/>
    <w:rsid w:val="00707DDE"/>
    <w:rsid w:val="00711649"/>
    <w:rsid w:val="00711B09"/>
    <w:rsid w:val="00713376"/>
    <w:rsid w:val="007135D2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3C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205C"/>
    <w:rsid w:val="008E31D4"/>
    <w:rsid w:val="008F0B28"/>
    <w:rsid w:val="008F5377"/>
    <w:rsid w:val="008F6AAD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9636D"/>
    <w:rsid w:val="009A200C"/>
    <w:rsid w:val="009A20F9"/>
    <w:rsid w:val="009A25C3"/>
    <w:rsid w:val="009A2B6D"/>
    <w:rsid w:val="009A558A"/>
    <w:rsid w:val="009B1C80"/>
    <w:rsid w:val="009B2157"/>
    <w:rsid w:val="009B3767"/>
    <w:rsid w:val="009B5EB2"/>
    <w:rsid w:val="009C11A8"/>
    <w:rsid w:val="009C35B2"/>
    <w:rsid w:val="009C6C4B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4DE7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83B2D"/>
    <w:rsid w:val="00A91AC3"/>
    <w:rsid w:val="00AA1230"/>
    <w:rsid w:val="00AA141E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3AB"/>
    <w:rsid w:val="00B02C7E"/>
    <w:rsid w:val="00B03282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40EC"/>
    <w:rsid w:val="00B253EF"/>
    <w:rsid w:val="00B26435"/>
    <w:rsid w:val="00B30483"/>
    <w:rsid w:val="00B30AAC"/>
    <w:rsid w:val="00B335D2"/>
    <w:rsid w:val="00B40F76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278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085E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2F17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6277"/>
    <w:rsid w:val="00D914CB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E664E"/>
    <w:rsid w:val="00DF12E2"/>
    <w:rsid w:val="00DF6DFC"/>
    <w:rsid w:val="00E0127B"/>
    <w:rsid w:val="00E043B5"/>
    <w:rsid w:val="00E05AA0"/>
    <w:rsid w:val="00E06B9C"/>
    <w:rsid w:val="00E14BB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31E3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16B"/>
    <w:rsid w:val="00F27957"/>
    <w:rsid w:val="00F30135"/>
    <w:rsid w:val="00F36B57"/>
    <w:rsid w:val="00F46D3B"/>
    <w:rsid w:val="00F51E84"/>
    <w:rsid w:val="00F555E4"/>
    <w:rsid w:val="00F6158A"/>
    <w:rsid w:val="00F66F79"/>
    <w:rsid w:val="00F749BC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2C2E"/>
    <w:rsid w:val="00FB404C"/>
    <w:rsid w:val="00FB55AB"/>
    <w:rsid w:val="00FB6652"/>
    <w:rsid w:val="00FB6ED6"/>
    <w:rsid w:val="00FC0A29"/>
    <w:rsid w:val="00FC4D3E"/>
    <w:rsid w:val="00FC4D4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AEF6-5DA2-4EAF-A8F3-36C19A0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hp</cp:lastModifiedBy>
  <cp:revision>9</cp:revision>
  <cp:lastPrinted>2019-05-03T06:37:00Z</cp:lastPrinted>
  <dcterms:created xsi:type="dcterms:W3CDTF">2019-04-18T10:13:00Z</dcterms:created>
  <dcterms:modified xsi:type="dcterms:W3CDTF">2019-05-03T06:56:00Z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